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68465" w14:textId="562191A8" w:rsidR="00C930D4" w:rsidRDefault="00C930D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930D4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2ABDB42" wp14:editId="5F081442">
            <wp:simplePos x="0" y="0"/>
            <wp:positionH relativeFrom="column">
              <wp:posOffset>8324850</wp:posOffset>
            </wp:positionH>
            <wp:positionV relativeFrom="paragraph">
              <wp:posOffset>-78105</wp:posOffset>
            </wp:positionV>
            <wp:extent cx="828675" cy="539750"/>
            <wp:effectExtent l="19050" t="19050" r="9525" b="12700"/>
            <wp:wrapNone/>
            <wp:docPr id="7" name="Picture 4" descr="PROW-2014-2020-logo-kolor">
              <a:extLst xmlns:a="http://schemas.openxmlformats.org/drawingml/2006/main">
                <a:ext uri="{FF2B5EF4-FFF2-40B4-BE49-F238E27FC236}">
                  <a16:creationId xmlns:a16="http://schemas.microsoft.com/office/drawing/2014/main" id="{29BE0F66-B2D6-46D3-B811-DC4B647B48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PROW-2014-2020-logo-kolor">
                      <a:extLst>
                        <a:ext uri="{FF2B5EF4-FFF2-40B4-BE49-F238E27FC236}">
                          <a16:creationId xmlns:a16="http://schemas.microsoft.com/office/drawing/2014/main" id="{29BE0F66-B2D6-46D3-B811-DC4B647B482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597">
                      <a:off x="0" y="0"/>
                      <a:ext cx="828675" cy="5397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C930D4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CB3428E" wp14:editId="53E16B42">
            <wp:simplePos x="0" y="0"/>
            <wp:positionH relativeFrom="column">
              <wp:posOffset>3164840</wp:posOffset>
            </wp:positionH>
            <wp:positionV relativeFrom="paragraph">
              <wp:posOffset>-59690</wp:posOffset>
            </wp:positionV>
            <wp:extent cx="546735" cy="539750"/>
            <wp:effectExtent l="38100" t="38100" r="43815" b="31750"/>
            <wp:wrapNone/>
            <wp:docPr id="6" name="Picture 7" descr="logo LEADER EUROPA">
              <a:extLst xmlns:a="http://schemas.openxmlformats.org/drawingml/2006/main">
                <a:ext uri="{FF2B5EF4-FFF2-40B4-BE49-F238E27FC236}">
                  <a16:creationId xmlns:a16="http://schemas.microsoft.com/office/drawing/2014/main" id="{2E9CACC2-4175-4E85-80E4-267E4682E3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" descr="logo LEADER EUROPA">
                      <a:extLst>
                        <a:ext uri="{FF2B5EF4-FFF2-40B4-BE49-F238E27FC236}">
                          <a16:creationId xmlns:a16="http://schemas.microsoft.com/office/drawing/2014/main" id="{2E9CACC2-4175-4E85-80E4-267E4682E30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3975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C930D4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97AE3BD" wp14:editId="7B10F058">
            <wp:simplePos x="0" y="0"/>
            <wp:positionH relativeFrom="column">
              <wp:posOffset>5734050</wp:posOffset>
            </wp:positionH>
            <wp:positionV relativeFrom="paragraph">
              <wp:posOffset>-99695</wp:posOffset>
            </wp:positionV>
            <wp:extent cx="568325" cy="539750"/>
            <wp:effectExtent l="19050" t="19050" r="22225" b="12700"/>
            <wp:wrapNone/>
            <wp:docPr id="5" name="Picture 8" descr="Logo">
              <a:extLst xmlns:a="http://schemas.openxmlformats.org/drawingml/2006/main">
                <a:ext uri="{FF2B5EF4-FFF2-40B4-BE49-F238E27FC236}">
                  <a16:creationId xmlns:a16="http://schemas.microsoft.com/office/drawing/2014/main" id="{F20601F9-719F-4610-8FDC-561D9A5DDEC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 descr="Logo">
                      <a:extLst>
                        <a:ext uri="{FF2B5EF4-FFF2-40B4-BE49-F238E27FC236}">
                          <a16:creationId xmlns:a16="http://schemas.microsoft.com/office/drawing/2014/main" id="{F20601F9-719F-4610-8FDC-561D9A5DDEC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5397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C930D4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132D066" wp14:editId="1441CCD1">
            <wp:simplePos x="0" y="0"/>
            <wp:positionH relativeFrom="column">
              <wp:posOffset>453390</wp:posOffset>
            </wp:positionH>
            <wp:positionV relativeFrom="paragraph">
              <wp:posOffset>-105146</wp:posOffset>
            </wp:positionV>
            <wp:extent cx="807085" cy="539750"/>
            <wp:effectExtent l="19050" t="19050" r="12065" b="12700"/>
            <wp:wrapNone/>
            <wp:docPr id="4" name="Obraz 2" descr="ue.png">
              <a:extLst xmlns:a="http://schemas.openxmlformats.org/drawingml/2006/main">
                <a:ext uri="{FF2B5EF4-FFF2-40B4-BE49-F238E27FC236}">
                  <a16:creationId xmlns:a16="http://schemas.microsoft.com/office/drawing/2014/main" id="{A13B8393-61A8-4B23-A965-8872AD3FC8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2" descr="ue.png">
                      <a:extLst>
                        <a:ext uri="{FF2B5EF4-FFF2-40B4-BE49-F238E27FC236}">
                          <a16:creationId xmlns:a16="http://schemas.microsoft.com/office/drawing/2014/main" id="{A13B8393-61A8-4B23-A965-8872AD3FC88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032" b="20052"/>
                    <a:stretch>
                      <a:fillRect/>
                    </a:stretch>
                  </pic:blipFill>
                  <pic:spPr bwMode="auto">
                    <a:xfrm rot="27553">
                      <a:off x="0" y="0"/>
                      <a:ext cx="807085" cy="5397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71F8132F" w14:textId="1CBEBC2E" w:rsidR="00C930D4" w:rsidRDefault="00D0709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930D4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152BC" wp14:editId="3D13DB48">
                <wp:simplePos x="0" y="0"/>
                <wp:positionH relativeFrom="margin">
                  <wp:align>right</wp:align>
                </wp:positionH>
                <wp:positionV relativeFrom="paragraph">
                  <wp:posOffset>181143</wp:posOffset>
                </wp:positionV>
                <wp:extent cx="9773728" cy="327704"/>
                <wp:effectExtent l="0" t="0" r="0" b="0"/>
                <wp:wrapNone/>
                <wp:docPr id="8" name="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C12D00-0C79-4BA1-B5CF-7B0CE527495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3728" cy="327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B365EB" w14:textId="0610C9B6" w:rsidR="00C930D4" w:rsidRPr="00C930D4" w:rsidRDefault="00C930D4" w:rsidP="00D07099">
                            <w:pPr>
                              <w:pBdr>
                                <w:bottom w:val="single" w:sz="4" w:space="1" w:color="auto"/>
                              </w:pBd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Times New Roman" w:eastAsia="Calibri" w:hAnsi="Times New Roman" w:cs="Times New Roman"/>
                                <w:color w:val="323E4F" w:themeColor="text2" w:themeShade="BF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C930D4">
                              <w:rPr>
                                <w:rFonts w:ascii="Times New Roman" w:eastAsia="Calibri" w:hAnsi="Times New Roman" w:cs="Times New Roman"/>
                                <w:color w:val="323E4F" w:themeColor="text2" w:themeShade="BF"/>
                                <w:kern w:val="24"/>
                                <w:sz w:val="30"/>
                                <w:szCs w:val="30"/>
                              </w:rPr>
                              <w:t xml:space="preserve">„Europejski Fundusz Rolny na rzecz Rozwoju Obszarów Wiejskich: Europa inwestująca w obszary wiejskie”.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152BC" id="Rectangle 7" o:spid="_x0000_s1026" style="position:absolute;margin-left:718.4pt;margin-top:14.25pt;width:769.6pt;height:25.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" filled="f" fillcolor="#4472c4 [3204]" stroked="f" strokecolor="black [3213]">
                <v:shadow color="#e7e6e6 [3214]"/>
                <v:textbox>
                  <w:txbxContent>
                    <w:p w14:paraId="76B365EB" w14:textId="0610C9B6" w:rsidR="00C930D4" w:rsidRPr="00C930D4" w:rsidRDefault="00C930D4" w:rsidP="00D07099">
                      <w:pPr>
                        <w:pBdr>
                          <w:bottom w:val="single" w:sz="4" w:space="1" w:color="auto"/>
                        </w:pBd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Times New Roman" w:eastAsia="Calibri" w:hAnsi="Times New Roman" w:cs="Times New Roman"/>
                          <w:color w:val="323E4F" w:themeColor="text2" w:themeShade="BF"/>
                          <w:kern w:val="24"/>
                          <w:sz w:val="30"/>
                          <w:szCs w:val="30"/>
                        </w:rPr>
                      </w:pPr>
                      <w:r w:rsidRPr="00C930D4">
                        <w:rPr>
                          <w:rFonts w:ascii="Times New Roman" w:eastAsia="Calibri" w:hAnsi="Times New Roman" w:cs="Times New Roman"/>
                          <w:color w:val="323E4F" w:themeColor="text2" w:themeShade="BF"/>
                          <w:kern w:val="24"/>
                          <w:sz w:val="30"/>
                          <w:szCs w:val="30"/>
                        </w:rPr>
                        <w:t xml:space="preserve">„Europejski Fundusz Rolny na rzecz Rozwoju Obszarów Wiejskich: Europa inwestująca w obszary wiejskie”.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84A2E7" w14:textId="01E686FA" w:rsidR="00C930D4" w:rsidRDefault="00C930D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03D4C33F" wp14:editId="1DBB9D47">
                <wp:simplePos x="0" y="0"/>
                <wp:positionH relativeFrom="column">
                  <wp:posOffset>1940427</wp:posOffset>
                </wp:positionH>
                <wp:positionV relativeFrom="paragraph">
                  <wp:posOffset>197908</wp:posOffset>
                </wp:positionV>
                <wp:extent cx="360" cy="360"/>
                <wp:effectExtent l="38100" t="38100" r="57150" b="57150"/>
                <wp:wrapNone/>
                <wp:docPr id="3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3A958A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3" o:spid="_x0000_s1026" type="#_x0000_t75" style="position:absolute;margin-left:152.1pt;margin-top:14.9pt;width:1.45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"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C20E46E" wp14:editId="3B98A19F">
                <wp:simplePos x="0" y="0"/>
                <wp:positionH relativeFrom="column">
                  <wp:posOffset>1552707</wp:posOffset>
                </wp:positionH>
                <wp:positionV relativeFrom="paragraph">
                  <wp:posOffset>25468</wp:posOffset>
                </wp:positionV>
                <wp:extent cx="360" cy="360"/>
                <wp:effectExtent l="38100" t="38100" r="57150" b="57150"/>
                <wp:wrapNone/>
                <wp:docPr id="2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F6CAC7" id="Pismo odręczne 2" o:spid="_x0000_s1026" type="#_x0000_t75" style="position:absolute;margin-left:121.55pt;margin-top:1.3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">
                <v:imagedata r:id="rId9" o:title=""/>
              </v:shape>
            </w:pict>
          </mc:Fallback>
        </mc:AlternateContent>
      </w:r>
    </w:p>
    <w:p w14:paraId="0F8E9FFC" w14:textId="6C191B45" w:rsidR="009372A0" w:rsidRDefault="009372A0" w:rsidP="009372A0">
      <w:pPr>
        <w:spacing w:after="120" w:line="288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Wykonanie analizy będzie wieloetapowe. Na początek – i to jest ważne – prośba do uczestników spotkań konsultacyjnych </w:t>
      </w:r>
      <w:r>
        <w:rPr>
          <w:rFonts w:ascii="Times New Roman" w:hAnsi="Times New Roman" w:cs="Times New Roman"/>
          <w:sz w:val="29"/>
          <w:szCs w:val="29"/>
        </w:rPr>
        <w:br/>
      </w:r>
      <w:r>
        <w:rPr>
          <w:rFonts w:ascii="Times New Roman" w:hAnsi="Times New Roman" w:cs="Times New Roman"/>
          <w:sz w:val="29"/>
          <w:szCs w:val="29"/>
        </w:rPr>
        <w:t xml:space="preserve">o zidentyfikowanie czynników wpływających na rozwój obszaru. Identyfikacja i ich wpisanie w diagram na odwrocie kartki, pozwoli na diagnozę obszaru w oparciu o szerokie społeczne spojrzenie. </w:t>
      </w:r>
    </w:p>
    <w:p w14:paraId="6D9C3826" w14:textId="77777777" w:rsidR="009372A0" w:rsidRPr="00EB57AB" w:rsidRDefault="009372A0" w:rsidP="009372A0">
      <w:pPr>
        <w:spacing w:after="120" w:line="288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EB57AB">
        <w:rPr>
          <w:rFonts w:ascii="Times New Roman" w:hAnsi="Times New Roman" w:cs="Times New Roman"/>
          <w:sz w:val="29"/>
          <w:szCs w:val="29"/>
        </w:rPr>
        <w:t xml:space="preserve">Ważne jest wyznaczenie pola działania określonego z jednej strony przez silne strony obszaru LSR i jego szanse, z drugiej strony przez słabe strony i zagrożenia zewnętrzne. </w:t>
      </w:r>
    </w:p>
    <w:p w14:paraId="1D22ED16" w14:textId="77777777" w:rsidR="009372A0" w:rsidRPr="00EB57AB" w:rsidRDefault="009372A0" w:rsidP="009372A0">
      <w:pPr>
        <w:spacing w:after="120" w:line="288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EB57AB">
        <w:rPr>
          <w:rFonts w:ascii="Times New Roman" w:hAnsi="Times New Roman" w:cs="Times New Roman"/>
          <w:sz w:val="29"/>
          <w:szCs w:val="29"/>
        </w:rPr>
        <w:t xml:space="preserve">Analizując </w:t>
      </w:r>
      <w:r w:rsidRPr="00EB57AB">
        <w:rPr>
          <w:rFonts w:ascii="Times New Roman" w:hAnsi="Times New Roman" w:cs="Times New Roman"/>
          <w:b/>
          <w:bCs/>
          <w:sz w:val="29"/>
          <w:szCs w:val="29"/>
        </w:rPr>
        <w:t>silne</w:t>
      </w:r>
      <w:r w:rsidRPr="00EB57AB">
        <w:rPr>
          <w:rFonts w:ascii="Times New Roman" w:hAnsi="Times New Roman" w:cs="Times New Roman"/>
          <w:sz w:val="29"/>
          <w:szCs w:val="29"/>
        </w:rPr>
        <w:t xml:space="preserve"> i </w:t>
      </w:r>
      <w:r w:rsidRPr="00EB57AB">
        <w:rPr>
          <w:rFonts w:ascii="Times New Roman" w:hAnsi="Times New Roman" w:cs="Times New Roman"/>
          <w:b/>
          <w:bCs/>
          <w:sz w:val="29"/>
          <w:szCs w:val="29"/>
        </w:rPr>
        <w:t>słabe</w:t>
      </w:r>
      <w:r w:rsidRPr="00EB57AB">
        <w:rPr>
          <w:rFonts w:ascii="Times New Roman" w:hAnsi="Times New Roman" w:cs="Times New Roman"/>
          <w:sz w:val="29"/>
          <w:szCs w:val="29"/>
        </w:rPr>
        <w:t xml:space="preserve"> </w:t>
      </w:r>
      <w:r w:rsidRPr="00EB57AB">
        <w:rPr>
          <w:rFonts w:ascii="Times New Roman" w:hAnsi="Times New Roman" w:cs="Times New Roman"/>
          <w:b/>
          <w:bCs/>
          <w:sz w:val="29"/>
          <w:szCs w:val="29"/>
        </w:rPr>
        <w:t>strony</w:t>
      </w:r>
      <w:r w:rsidRPr="00EB57AB">
        <w:rPr>
          <w:rFonts w:ascii="Times New Roman" w:hAnsi="Times New Roman" w:cs="Times New Roman"/>
          <w:sz w:val="29"/>
          <w:szCs w:val="29"/>
        </w:rPr>
        <w:t xml:space="preserve">, należy je traktować, jako cechy wewnętrzne obszaru, zależne od mieszkańców/LGD, na które można wpływać i je zmieniać. </w:t>
      </w:r>
    </w:p>
    <w:p w14:paraId="2F6388B0" w14:textId="77777777" w:rsidR="008301AD" w:rsidRPr="00EB57AB" w:rsidRDefault="008301AD" w:rsidP="00D07099">
      <w:pPr>
        <w:spacing w:after="12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EB57AB">
        <w:rPr>
          <w:rFonts w:ascii="Times New Roman" w:hAnsi="Times New Roman" w:cs="Times New Roman"/>
          <w:sz w:val="29"/>
          <w:szCs w:val="29"/>
        </w:rPr>
        <w:t xml:space="preserve">Analizując </w:t>
      </w:r>
      <w:r w:rsidRPr="00EB57AB">
        <w:rPr>
          <w:rFonts w:ascii="Times New Roman" w:hAnsi="Times New Roman" w:cs="Times New Roman"/>
          <w:b/>
          <w:bCs/>
          <w:sz w:val="29"/>
          <w:szCs w:val="29"/>
        </w:rPr>
        <w:t>silne</w:t>
      </w:r>
      <w:r w:rsidRPr="00EB57AB">
        <w:rPr>
          <w:rFonts w:ascii="Times New Roman" w:hAnsi="Times New Roman" w:cs="Times New Roman"/>
          <w:sz w:val="29"/>
          <w:szCs w:val="29"/>
        </w:rPr>
        <w:t xml:space="preserve"> i </w:t>
      </w:r>
      <w:r w:rsidRPr="00EB57AB">
        <w:rPr>
          <w:rFonts w:ascii="Times New Roman" w:hAnsi="Times New Roman" w:cs="Times New Roman"/>
          <w:b/>
          <w:bCs/>
          <w:sz w:val="29"/>
          <w:szCs w:val="29"/>
        </w:rPr>
        <w:t>słabe</w:t>
      </w:r>
      <w:r w:rsidRPr="00EB57AB">
        <w:rPr>
          <w:rFonts w:ascii="Times New Roman" w:hAnsi="Times New Roman" w:cs="Times New Roman"/>
          <w:sz w:val="29"/>
          <w:szCs w:val="29"/>
        </w:rPr>
        <w:t xml:space="preserve"> </w:t>
      </w:r>
      <w:r w:rsidRPr="00EB57AB">
        <w:rPr>
          <w:rFonts w:ascii="Times New Roman" w:hAnsi="Times New Roman" w:cs="Times New Roman"/>
          <w:b/>
          <w:bCs/>
          <w:sz w:val="29"/>
          <w:szCs w:val="29"/>
        </w:rPr>
        <w:t>strony</w:t>
      </w:r>
      <w:r w:rsidRPr="00EB57AB">
        <w:rPr>
          <w:rFonts w:ascii="Times New Roman" w:hAnsi="Times New Roman" w:cs="Times New Roman"/>
          <w:sz w:val="29"/>
          <w:szCs w:val="29"/>
        </w:rPr>
        <w:t xml:space="preserve">, należy je traktować, jako cechy wewnętrzne obszaru, zależne od mieszkańców/LGD, na które można wpływać i je zmieniać. </w:t>
      </w:r>
    </w:p>
    <w:p w14:paraId="7106FCA3" w14:textId="77777777" w:rsidR="008301AD" w:rsidRPr="00EB57AB" w:rsidRDefault="008301AD" w:rsidP="00D07099">
      <w:pPr>
        <w:spacing w:after="12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EB57AB">
        <w:rPr>
          <w:rFonts w:ascii="Times New Roman" w:hAnsi="Times New Roman" w:cs="Times New Roman"/>
          <w:b/>
          <w:bCs/>
          <w:sz w:val="29"/>
          <w:szCs w:val="29"/>
        </w:rPr>
        <w:t>Szanse</w:t>
      </w:r>
      <w:r w:rsidRPr="00EB57AB">
        <w:rPr>
          <w:rFonts w:ascii="Times New Roman" w:hAnsi="Times New Roman" w:cs="Times New Roman"/>
          <w:sz w:val="29"/>
          <w:szCs w:val="29"/>
        </w:rPr>
        <w:t xml:space="preserve"> i </w:t>
      </w:r>
      <w:r w:rsidRPr="00EB57AB">
        <w:rPr>
          <w:rFonts w:ascii="Times New Roman" w:hAnsi="Times New Roman" w:cs="Times New Roman"/>
          <w:b/>
          <w:bCs/>
          <w:sz w:val="29"/>
          <w:szCs w:val="29"/>
        </w:rPr>
        <w:t>zagrożenia</w:t>
      </w:r>
      <w:r w:rsidRPr="00EB57AB">
        <w:rPr>
          <w:rFonts w:ascii="Times New Roman" w:hAnsi="Times New Roman" w:cs="Times New Roman"/>
          <w:sz w:val="29"/>
          <w:szCs w:val="29"/>
        </w:rPr>
        <w:t xml:space="preserve"> opisują otoczenie zewnętrzne, na które mieszkańcy/LGD nie mają wpływu, ale które bezwzględnie mają związek z obecną sytuacją obszaru i mają lub mogą mieć w przyszłości znaczenie dla jego sytuacji. </w:t>
      </w:r>
    </w:p>
    <w:p w14:paraId="7048D12B" w14:textId="77777777" w:rsidR="008301AD" w:rsidRPr="00EB57AB" w:rsidRDefault="008301AD" w:rsidP="00D07099">
      <w:pPr>
        <w:spacing w:after="12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EB57AB">
        <w:rPr>
          <w:rFonts w:ascii="Times New Roman" w:hAnsi="Times New Roman" w:cs="Times New Roman"/>
          <w:b/>
          <w:bCs/>
          <w:sz w:val="29"/>
          <w:szCs w:val="29"/>
        </w:rPr>
        <w:t>Czynniki wewnętrzne pozytywne</w:t>
      </w:r>
      <w:r w:rsidRPr="00EB57AB">
        <w:rPr>
          <w:rFonts w:ascii="Times New Roman" w:hAnsi="Times New Roman" w:cs="Times New Roman"/>
          <w:sz w:val="29"/>
          <w:szCs w:val="29"/>
        </w:rPr>
        <w:t xml:space="preserve"> – </w:t>
      </w:r>
      <w:r w:rsidRPr="009372A0">
        <w:rPr>
          <w:rFonts w:ascii="Times New Roman" w:hAnsi="Times New Roman" w:cs="Times New Roman"/>
          <w:b/>
          <w:bCs/>
          <w:sz w:val="29"/>
          <w:szCs w:val="29"/>
        </w:rPr>
        <w:t>silne strony</w:t>
      </w:r>
      <w:r w:rsidRPr="00EB57AB">
        <w:rPr>
          <w:rFonts w:ascii="Times New Roman" w:hAnsi="Times New Roman" w:cs="Times New Roman"/>
          <w:sz w:val="29"/>
          <w:szCs w:val="29"/>
        </w:rPr>
        <w:t xml:space="preserve">, atuty danego obszaru. Cechy wyróżniające obszar LSR od innych obszarów np. sąsiadujących np. tereny pod inwestycje, położenie geograficzne, dobre warunki do rozwoju turystyki. </w:t>
      </w:r>
    </w:p>
    <w:p w14:paraId="2B5F5A4D" w14:textId="77777777" w:rsidR="008301AD" w:rsidRPr="00EB57AB" w:rsidRDefault="008301AD" w:rsidP="00D07099">
      <w:pPr>
        <w:spacing w:after="12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EB57AB">
        <w:rPr>
          <w:rFonts w:ascii="Times New Roman" w:hAnsi="Times New Roman" w:cs="Times New Roman"/>
          <w:b/>
          <w:bCs/>
          <w:sz w:val="29"/>
          <w:szCs w:val="29"/>
        </w:rPr>
        <w:t>Czynniki wewnętrzne negatywne</w:t>
      </w:r>
      <w:r w:rsidRPr="00EB57AB">
        <w:rPr>
          <w:rFonts w:ascii="Times New Roman" w:hAnsi="Times New Roman" w:cs="Times New Roman"/>
          <w:sz w:val="29"/>
          <w:szCs w:val="29"/>
        </w:rPr>
        <w:t xml:space="preserve"> – </w:t>
      </w:r>
      <w:r w:rsidRPr="009372A0">
        <w:rPr>
          <w:rFonts w:ascii="Times New Roman" w:hAnsi="Times New Roman" w:cs="Times New Roman"/>
          <w:b/>
          <w:bCs/>
          <w:sz w:val="29"/>
          <w:szCs w:val="29"/>
        </w:rPr>
        <w:t>słabe strony</w:t>
      </w:r>
      <w:r w:rsidRPr="00EB57AB">
        <w:rPr>
          <w:rFonts w:ascii="Times New Roman" w:hAnsi="Times New Roman" w:cs="Times New Roman"/>
          <w:sz w:val="29"/>
          <w:szCs w:val="29"/>
        </w:rPr>
        <w:t xml:space="preserve"> danego obszaru, będące konsekwencją ograniczeń zasobów np. niewystarczająca infrastruktura turystyczna, niska przedsiębiorczość mieszkańców. </w:t>
      </w:r>
    </w:p>
    <w:p w14:paraId="25E7F957" w14:textId="77777777" w:rsidR="008301AD" w:rsidRPr="00EB57AB" w:rsidRDefault="008301AD" w:rsidP="00D07099">
      <w:pPr>
        <w:spacing w:after="12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EB57AB">
        <w:rPr>
          <w:rFonts w:ascii="Times New Roman" w:hAnsi="Times New Roman" w:cs="Times New Roman"/>
          <w:b/>
          <w:bCs/>
          <w:sz w:val="29"/>
          <w:szCs w:val="29"/>
        </w:rPr>
        <w:t>Czynniki zewnętrzne pozytywne</w:t>
      </w:r>
      <w:r w:rsidRPr="00EB57AB">
        <w:rPr>
          <w:rFonts w:ascii="Times New Roman" w:hAnsi="Times New Roman" w:cs="Times New Roman"/>
          <w:sz w:val="29"/>
          <w:szCs w:val="29"/>
        </w:rPr>
        <w:t xml:space="preserve"> – </w:t>
      </w:r>
      <w:r w:rsidRPr="009372A0">
        <w:rPr>
          <w:rFonts w:ascii="Times New Roman" w:hAnsi="Times New Roman" w:cs="Times New Roman"/>
          <w:b/>
          <w:bCs/>
          <w:sz w:val="29"/>
          <w:szCs w:val="29"/>
        </w:rPr>
        <w:t>szanse</w:t>
      </w:r>
      <w:r w:rsidRPr="00EB57AB">
        <w:rPr>
          <w:rFonts w:ascii="Times New Roman" w:hAnsi="Times New Roman" w:cs="Times New Roman"/>
          <w:sz w:val="29"/>
          <w:szCs w:val="29"/>
        </w:rPr>
        <w:t xml:space="preserve">, korzystne tendencje w otoczeniu zewnętrznym danego obszaru, które właściwie wykorzystane mogą stanowić impuls rozwojowy np. rozwój turystyki, rozwój przedsiębiorczości. </w:t>
      </w:r>
    </w:p>
    <w:p w14:paraId="12E4FC00" w14:textId="4A48418C" w:rsidR="008301AD" w:rsidRPr="00EB57AB" w:rsidRDefault="008301AD" w:rsidP="00D07099">
      <w:pPr>
        <w:spacing w:after="12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EB57AB">
        <w:rPr>
          <w:rFonts w:ascii="Times New Roman" w:hAnsi="Times New Roman" w:cs="Times New Roman"/>
          <w:b/>
          <w:bCs/>
          <w:sz w:val="29"/>
          <w:szCs w:val="29"/>
        </w:rPr>
        <w:t>Czynniki zewnętrzne negatywne</w:t>
      </w:r>
      <w:r w:rsidRPr="00EB57AB">
        <w:rPr>
          <w:rFonts w:ascii="Times New Roman" w:hAnsi="Times New Roman" w:cs="Times New Roman"/>
          <w:sz w:val="29"/>
          <w:szCs w:val="29"/>
        </w:rPr>
        <w:t xml:space="preserve"> – </w:t>
      </w:r>
      <w:r w:rsidRPr="009372A0">
        <w:rPr>
          <w:rFonts w:ascii="Times New Roman" w:hAnsi="Times New Roman" w:cs="Times New Roman"/>
          <w:b/>
          <w:bCs/>
          <w:sz w:val="29"/>
          <w:szCs w:val="29"/>
        </w:rPr>
        <w:t>zagrożenia</w:t>
      </w:r>
      <w:r w:rsidRPr="00EB57AB">
        <w:rPr>
          <w:rFonts w:ascii="Times New Roman" w:hAnsi="Times New Roman" w:cs="Times New Roman"/>
          <w:sz w:val="29"/>
          <w:szCs w:val="29"/>
        </w:rPr>
        <w:t xml:space="preserve">, niekorzystne tendencje w otoczeniu zewnętrznym, które mogą być barierą dla rozwoju obszaru np. konkurencja sąsiednich obszarów, spowolnienie gospodarcze skutkujące brakiem zainteresowania obszarem </w:t>
      </w:r>
      <w:r w:rsidR="00EB57AB" w:rsidRPr="00EB57AB">
        <w:rPr>
          <w:rFonts w:ascii="Times New Roman" w:hAnsi="Times New Roman" w:cs="Times New Roman"/>
          <w:sz w:val="29"/>
          <w:szCs w:val="29"/>
        </w:rPr>
        <w:t xml:space="preserve">przez </w:t>
      </w:r>
      <w:r w:rsidRPr="00EB57AB">
        <w:rPr>
          <w:rFonts w:ascii="Times New Roman" w:hAnsi="Times New Roman" w:cs="Times New Roman"/>
          <w:sz w:val="29"/>
          <w:szCs w:val="29"/>
        </w:rPr>
        <w:t>inwest</w:t>
      </w:r>
      <w:r w:rsidR="00EB57AB" w:rsidRPr="00EB57AB">
        <w:rPr>
          <w:rFonts w:ascii="Times New Roman" w:hAnsi="Times New Roman" w:cs="Times New Roman"/>
          <w:sz w:val="29"/>
          <w:szCs w:val="29"/>
        </w:rPr>
        <w:t>orów</w:t>
      </w:r>
      <w:r w:rsidRPr="00EB57AB">
        <w:rPr>
          <w:rFonts w:ascii="Times New Roman" w:hAnsi="Times New Roman" w:cs="Times New Roman"/>
          <w:sz w:val="29"/>
          <w:szCs w:val="29"/>
        </w:rPr>
        <w:t xml:space="preserve">. </w:t>
      </w:r>
    </w:p>
    <w:p w14:paraId="56A948A3" w14:textId="0A76A2F2" w:rsidR="008301AD" w:rsidRPr="00692D6A" w:rsidRDefault="00EB57AB" w:rsidP="00D07099">
      <w:pPr>
        <w:spacing w:after="120" w:line="240" w:lineRule="auto"/>
        <w:rPr>
          <w:rFonts w:ascii="Times New Roman" w:hAnsi="Times New Roman" w:cs="Times New Roman"/>
          <w:i/>
          <w:iCs/>
          <w:sz w:val="29"/>
          <w:szCs w:val="29"/>
        </w:rPr>
      </w:pPr>
      <w:r w:rsidRPr="00692D6A">
        <w:rPr>
          <w:rFonts w:ascii="Times New Roman" w:hAnsi="Times New Roman" w:cs="Times New Roman"/>
          <w:i/>
          <w:iCs/>
          <w:sz w:val="29"/>
          <w:szCs w:val="29"/>
        </w:rPr>
        <w:t xml:space="preserve">Prośba o wypełnienie tabelki, zgodnie z posiadaną wiedzą i </w:t>
      </w:r>
      <w:r w:rsidR="00692D6A" w:rsidRPr="00692D6A">
        <w:rPr>
          <w:rFonts w:ascii="Times New Roman" w:hAnsi="Times New Roman" w:cs="Times New Roman"/>
          <w:i/>
          <w:iCs/>
          <w:sz w:val="29"/>
          <w:szCs w:val="29"/>
        </w:rPr>
        <w:t xml:space="preserve">osobistą </w:t>
      </w:r>
      <w:r w:rsidRPr="00692D6A">
        <w:rPr>
          <w:rFonts w:ascii="Times New Roman" w:hAnsi="Times New Roman" w:cs="Times New Roman"/>
          <w:i/>
          <w:iCs/>
          <w:sz w:val="29"/>
          <w:szCs w:val="29"/>
        </w:rPr>
        <w:t>oceną sytuacji.</w:t>
      </w:r>
    </w:p>
    <w:tbl>
      <w:tblPr>
        <w:tblStyle w:val="Tabela-Siatka"/>
        <w:tblW w:w="15304" w:type="dxa"/>
        <w:tblLook w:val="04A0" w:firstRow="1" w:lastRow="0" w:firstColumn="1" w:lastColumn="0" w:noHBand="0" w:noVBand="1"/>
      </w:tblPr>
      <w:tblGrid>
        <w:gridCol w:w="579"/>
        <w:gridCol w:w="7361"/>
        <w:gridCol w:w="7364"/>
      </w:tblGrid>
      <w:tr w:rsidR="008301AD" w:rsidRPr="00DB075C" w14:paraId="7B3FF5F2" w14:textId="77777777" w:rsidTr="008301AD">
        <w:trPr>
          <w:trHeight w:val="364"/>
        </w:trPr>
        <w:tc>
          <w:tcPr>
            <w:tcW w:w="579" w:type="dxa"/>
            <w:hideMark/>
          </w:tcPr>
          <w:p w14:paraId="64275F5C" w14:textId="77777777" w:rsidR="008301AD" w:rsidRPr="00DB075C" w:rsidRDefault="008301AD" w:rsidP="0031044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7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7361" w:type="dxa"/>
            <w:hideMark/>
          </w:tcPr>
          <w:p w14:paraId="55824368" w14:textId="77777777" w:rsidR="008301AD" w:rsidRPr="00DB075C" w:rsidRDefault="008301AD" w:rsidP="0031044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7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Pozytywne</w:t>
            </w:r>
          </w:p>
        </w:tc>
        <w:tc>
          <w:tcPr>
            <w:tcW w:w="7364" w:type="dxa"/>
            <w:hideMark/>
          </w:tcPr>
          <w:p w14:paraId="0160D7B5" w14:textId="77777777" w:rsidR="008301AD" w:rsidRPr="00DB075C" w:rsidRDefault="008301AD" w:rsidP="0031044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7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Negatywne</w:t>
            </w:r>
          </w:p>
        </w:tc>
      </w:tr>
      <w:tr w:rsidR="008301AD" w:rsidRPr="00DB075C" w14:paraId="54984DED" w14:textId="77777777" w:rsidTr="008301AD">
        <w:trPr>
          <w:trHeight w:val="4835"/>
        </w:trPr>
        <w:tc>
          <w:tcPr>
            <w:tcW w:w="579" w:type="dxa"/>
            <w:textDirection w:val="btLr"/>
            <w:hideMark/>
          </w:tcPr>
          <w:p w14:paraId="5FCB31C9" w14:textId="77777777" w:rsidR="008301AD" w:rsidRPr="00DB075C" w:rsidRDefault="008301AD" w:rsidP="008301A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Wewnętrzne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A243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mamy na to wpływ</w:t>
            </w:r>
          </w:p>
        </w:tc>
        <w:tc>
          <w:tcPr>
            <w:tcW w:w="7361" w:type="dxa"/>
            <w:hideMark/>
          </w:tcPr>
          <w:p w14:paraId="1141CE8E" w14:textId="77777777" w:rsidR="008301AD" w:rsidRPr="00DB075C" w:rsidRDefault="008301AD" w:rsidP="0031044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7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Mocne strony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DB0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(wszystko to co stanowi atut, przewagę, zaletę obszaru)</w:t>
            </w:r>
          </w:p>
        </w:tc>
        <w:tc>
          <w:tcPr>
            <w:tcW w:w="7364" w:type="dxa"/>
            <w:hideMark/>
          </w:tcPr>
          <w:p w14:paraId="249DCB98" w14:textId="77777777" w:rsidR="008301AD" w:rsidRPr="00DB075C" w:rsidRDefault="008301AD" w:rsidP="0031044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7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Słabe strony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DB0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(wszystko to co stanowi słabość, barierę, wadę obszaru)</w:t>
            </w:r>
          </w:p>
        </w:tc>
      </w:tr>
      <w:tr w:rsidR="008301AD" w:rsidRPr="00DB075C" w14:paraId="2CB80C98" w14:textId="77777777" w:rsidTr="008301AD">
        <w:trPr>
          <w:trHeight w:val="4835"/>
        </w:trPr>
        <w:tc>
          <w:tcPr>
            <w:tcW w:w="579" w:type="dxa"/>
            <w:textDirection w:val="btLr"/>
            <w:hideMark/>
          </w:tcPr>
          <w:p w14:paraId="71F2506A" w14:textId="77777777" w:rsidR="008301AD" w:rsidRPr="00DB075C" w:rsidRDefault="008301AD" w:rsidP="008301A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Zewnętrzne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DB0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nie mamy na to wpływu</w:t>
            </w:r>
          </w:p>
        </w:tc>
        <w:tc>
          <w:tcPr>
            <w:tcW w:w="7361" w:type="dxa"/>
            <w:hideMark/>
          </w:tcPr>
          <w:p w14:paraId="7803F21C" w14:textId="77777777" w:rsidR="008301AD" w:rsidRPr="00DB075C" w:rsidRDefault="008301AD" w:rsidP="0031044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7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Szanse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DB0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(wszystko to co stwarza szansę korzystnej zmiany na obszarze)</w:t>
            </w:r>
          </w:p>
        </w:tc>
        <w:tc>
          <w:tcPr>
            <w:tcW w:w="7364" w:type="dxa"/>
            <w:hideMark/>
          </w:tcPr>
          <w:p w14:paraId="4A6C02E6" w14:textId="77777777" w:rsidR="008301AD" w:rsidRPr="00DB075C" w:rsidRDefault="008301AD" w:rsidP="0031044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7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Zagrożenia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DB0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(wszystko to co stwarza niebezpieczeństwo nieosiągnięcia celów nowej LSR)</w:t>
            </w:r>
          </w:p>
        </w:tc>
      </w:tr>
    </w:tbl>
    <w:p w14:paraId="3C214A2C" w14:textId="77777777" w:rsidR="008301AD" w:rsidRDefault="008301AD"/>
    <w:sectPr w:rsidR="008301AD" w:rsidSect="00DB07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5C"/>
    <w:rsid w:val="00276B23"/>
    <w:rsid w:val="005A7D98"/>
    <w:rsid w:val="00692D6A"/>
    <w:rsid w:val="007D01F9"/>
    <w:rsid w:val="008301AD"/>
    <w:rsid w:val="009372A0"/>
    <w:rsid w:val="00A2430F"/>
    <w:rsid w:val="00AB5896"/>
    <w:rsid w:val="00C930D4"/>
    <w:rsid w:val="00D07099"/>
    <w:rsid w:val="00DB075C"/>
    <w:rsid w:val="00EB57AB"/>
    <w:rsid w:val="00FF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4D2FE"/>
  <w15:chartTrackingRefBased/>
  <w15:docId w15:val="{43255AE4-3DFD-47F3-9EE1-C76B260E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0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1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ink/ink2.xml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31T12:59:04.23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31T12:59:02.95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Leśniak</dc:creator>
  <cp:keywords/>
  <dc:description/>
  <cp:lastModifiedBy>Leszek Leśniak</cp:lastModifiedBy>
  <cp:revision>3</cp:revision>
  <dcterms:created xsi:type="dcterms:W3CDTF">2022-08-18T22:10:00Z</dcterms:created>
  <dcterms:modified xsi:type="dcterms:W3CDTF">2022-08-18T22:14:00Z</dcterms:modified>
</cp:coreProperties>
</file>